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RPG ServiceLine contact label</w:t>
      </w:r>
    </w:p>
    <w:p>
      <w:r>
        <w:rPr>
          <w:b w:val="0"/>
        </w:rPr>
        <w:t>Application guidelines</w:t>
      </w:r>
    </w:p>
    <w:p>
      <w:r>
        <w:rPr>
          <w:b w:val="0"/>
        </w:rPr>
        <w:t>Version 3.0, issued January 2026</w:t>
      </w:r>
    </w:p>
    <w:p>
      <w:pPr>
        <w:pStyle w:val="Heading1"/>
      </w:pPr>
      <w:r>
        <w:t>Summary</w:t>
      </w:r>
    </w:p>
    <w:p>
      <w:pPr>
        <w:pStyle w:val="Heading1"/>
      </w:pPr>
      <w:r>
        <w:t>Introduction</w:t>
      </w:r>
    </w:p>
    <w:p>
      <w:r>
        <w:rPr>
          <w:b w:val="0"/>
        </w:rPr>
        <w:t>The RPG ServiceLine contact label tells an operator who to call when a motor, drive or cabinet needs help.</w:t>
      </w:r>
    </w:p>
    <w:p>
      <w:r>
        <w:rPr>
          <w:b w:val="0"/>
        </w:rPr>
        <w:t>It goes on every product we ship, repair or refurbish, and on every customer asset covered by an RPG ServiceLine contract. The label carries the ServiceLine lockup, the service phone number, the service email address, a QR code that opens the asset's service record and the serial number in readable type.</w:t>
      </w:r>
    </w:p>
    <w:p>
      <w:r>
        <w:rPr>
          <w:b w:val="0"/>
        </w:rPr>
        <w:t>These rules apply to all plants, repair centers, channel partners and contractors.</w:t>
      </w:r>
    </w:p>
    <w:p>
      <w:pPr>
        <w:pStyle w:val="Heading1"/>
      </w:pPr>
      <w:r>
        <w:t>Printing materials</w:t>
      </w:r>
    </w:p>
    <w:p>
      <w:r>
        <w:rPr>
          <w:b w:val="0"/>
        </w:rPr>
        <w:t>Labels have to survive oil mist, washdown, heat from the motor surface and years of sunlight on outdoor equipment. Order them only from the approved label list in the RPG Production System, supplied by Kessler Druck, in one of these materials:</w:t>
      </w:r>
    </w:p>
    <w:p>
      <w:pPr>
        <w:pStyle w:val="ListBullet"/>
      </w:pPr>
      <w:r>
        <w:t>Polyester (PET) face stock, 50 µm, matte white, for general indoor equipment</w:t>
      </w:r>
    </w:p>
    <w:p>
      <w:pPr>
        <w:pStyle w:val="ListBullet"/>
      </w:pPr>
      <w:r>
        <w:t>Polyimide face stock where the housing runs above 90 °C at the label position</w:t>
      </w:r>
    </w:p>
    <w:p>
      <w:pPr>
        <w:pStyle w:val="ListBullet"/>
      </w:pPr>
      <w:r>
        <w:t>Brushed aluminum foil, 0.1 mm, for outdoor, marine and WindTurn installations</w:t>
      </w:r>
    </w:p>
    <w:p>
      <w:pPr>
        <w:pStyle w:val="ListBullet"/>
      </w:pPr>
      <w:r>
        <w:t>Permanent acrylic adhesive rated from -40 °C to 150 °C</w:t>
      </w:r>
    </w:p>
    <w:p>
      <w:pPr>
        <w:pStyle w:val="ListBullet"/>
      </w:pPr>
      <w:r>
        <w:t>Clear polyester overlaminate with UV inhibitor on every printed label</w:t>
      </w:r>
    </w:p>
    <w:p>
      <w:pPr>
        <w:pStyle w:val="ListBullet"/>
      </w:pPr>
      <w:r>
        <w:t>Thermal transfer printing with resin ribbon for serial numbers and QR codes, never direct thermal</w:t>
      </w:r>
    </w:p>
    <w:p>
      <w:pPr>
        <w:pStyle w:val="Heading1"/>
      </w:pPr>
      <w:r>
        <w:t>Sizing</w:t>
      </w:r>
    </w:p>
    <w:p>
      <w:r>
        <w:rPr>
          <w:b w:val="0"/>
        </w:rPr>
        <w:t>There are three standard sizes. Pick the largest one that fits a flat, clean area of the housing or door without wrapping around an edge, a cooling fin or a fastener.</w:t>
      </w:r>
    </w:p>
    <w:p>
      <w:r>
        <w:rPr>
          <w:b w:val="0"/>
        </w:rPr>
        <w:t>Never scale the artwork to an in-between size. The QR code stays at least 15 mm square so a phone can read it at arm's length.</w:t>
      </w:r>
    </w:p>
    <w:p>
      <w:r>
        <w:rPr>
          <w:b w:val="0"/>
        </w:rPr>
        <w:t>Standard sizes, width by height:</w:t>
      </w:r>
    </w:p>
    <w:p>
      <w:pPr>
        <w:pStyle w:val="ListBullet"/>
      </w:pPr>
      <w:r>
        <w:t>Small: 50 x 25 mm, for MicroX, RoboTorq and other motors under 80 mm frame size</w:t>
      </w:r>
    </w:p>
    <w:p>
      <w:pPr>
        <w:pStyle w:val="ListBullet"/>
      </w:pPr>
      <w:r>
        <w:t>Medium: 80 x 40 mm, for most servo, BLDC, pump and traction motors</w:t>
      </w:r>
    </w:p>
    <w:p>
      <w:pPr>
        <w:pStyle w:val="ListBullet"/>
      </w:pPr>
      <w:r>
        <w:t>Large: 120 x 60 mm, for drive cabinets, control panels, test benches and CargoMax units</w:t>
      </w:r>
    </w:p>
    <w:p>
      <w:pPr>
        <w:pStyle w:val="Heading1"/>
      </w:pPr>
      <w:r>
        <w:t>Placement</w:t>
      </w:r>
    </w:p>
    <w:p>
      <w:r>
        <w:rPr>
          <w:b w:val="0"/>
        </w:rPr>
        <w:t>Place the label where an operator in the normal working position can read it without opening a guard or removing a cover. Keep it at least 20 mm from the rating plate so the two are never confused.</w:t>
      </w:r>
    </w:p>
    <w:p>
      <w:pPr>
        <w:pStyle w:val="ListBullet"/>
      </w:pPr>
      <w:r>
        <w:t>Motors: on the non-drive-end side of the housing next to the terminal box, text horizontal as mounted</w:t>
      </w:r>
    </w:p>
    <w:p>
      <w:pPr>
        <w:pStyle w:val="ListBullet"/>
      </w:pPr>
      <w:r>
        <w:t>Cabinets and panels: on the main door, lower right, between 1.2 m and 1.6 m from the floor</w:t>
      </w:r>
    </w:p>
    <w:p>
      <w:pPr>
        <w:pStyle w:val="ListBullet"/>
      </w:pPr>
      <w:r>
        <w:t>Test benches and stands: on the operator-side frame near the emergency stop, never on or around it</w:t>
      </w:r>
    </w:p>
    <w:p>
      <w:pPr>
        <w:pStyle w:val="Heading1"/>
      </w:pPr>
      <w:r>
        <w:t>Compliance</w:t>
      </w:r>
    </w:p>
    <w:p>
      <w:r>
        <w:rPr>
          <w:b w:val="0"/>
        </w:rPr>
        <w:t>The ServiceLine label never replaces or covers a safety label, a CE or UL mark, a rating plate or any marking a customer contract requires. If space is tight, those markings win and the ServiceLine label moves somewhere else.</w:t>
      </w:r>
    </w:p>
    <w:p>
      <w:r>
        <w:rPr>
          <w:b w:val="0"/>
        </w:rPr>
        <w:t>Repair centers check every returned unit for a present, readable label before it ships back. Missing or damaged labels are replaced free of charge. Send questions to Ananya Kulkarni, ServiceLine Operations, at service@rpgmotor-works.com.</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035607" cy="347472"/>
          <wp:docPr id="1" name="Picture 1"/>
          <wp:cNvGraphicFramePr>
            <a:graphicFrameLocks noChangeAspect="1"/>
          </wp:cNvGraphicFramePr>
          <a:graphic>
            <a:graphicData uri="http://schemas.openxmlformats.org/drawingml/2006/picture">
              <pic:pic>
                <pic:nvPicPr>
                  <pic:cNvPr id="0" name="service_RPG_ServiceLine_RGB_SOLID.png"/>
                  <pic:cNvPicPr/>
                </pic:nvPicPr>
                <pic:blipFill>
                  <a:blip r:embed="rId1"/>
                  <a:stretch>
                    <a:fillRect/>
                  </a:stretch>
                </pic:blipFill>
                <pic:spPr>
                  <a:xfrm>
                    <a:off x="0" y="0"/>
                    <a:ext cx="2035607" cy="34747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